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overflowPunct w:val="true"/>
        <w:spacing w:lineRule="auto" w:line="233" w:before="0" w:after="0"/>
        <w:rPr>
          <w:rFonts w:ascii="Calibri" w:hAnsi="Calibri" w:asciiTheme="minorHAnsi" w:hAnsiTheme="minorHAnsi"/>
          <w:b/>
          <w:lang w:val="sr-RS"/>
        </w:rPr>
      </w:pPr>
      <w:r>
        <w:rPr>
          <w:rFonts w:asciiTheme="minorHAnsi" w:hAnsiTheme="minorHAnsi"/>
          <w:b/>
          <w:lang w:val="sr-Latn-RS"/>
        </w:rPr>
      </w:r>
    </w:p>
    <w:p>
      <w:pPr>
        <w:pStyle w:val="Normal"/>
        <w:widowControl w:val="false"/>
        <w:overflowPunct w:val="true"/>
        <w:spacing w:lineRule="auto" w:line="233" w:before="0" w:after="0"/>
        <w:jc w:val="center"/>
        <w:rPr>
          <w:rFonts w:ascii="Calibri" w:hAnsi="Calibri" w:asciiTheme="minorHAnsi" w:hAnsiTheme="minorHAnsi"/>
          <w:b/>
          <w:lang w:val="sr-RS"/>
        </w:rPr>
      </w:pPr>
      <w:r>
        <w:rPr>
          <w:rFonts w:asciiTheme="minorHAnsi" w:hAnsiTheme="minorHAnsi"/>
          <w:b/>
          <w:lang w:val="sr-RS"/>
        </w:rPr>
        <w:t>О</w:t>
      </w:r>
      <w:r>
        <w:rPr>
          <w:rFonts w:asciiTheme="minorHAnsi" w:hAnsiTheme="minorHAnsi"/>
          <w:b/>
        </w:rPr>
        <w:t>БРАЗАЦ СТРУКТУРЕ ЦЕНЕ СА УПУТСТВОМ КАКО ДА СЕ ПОПУНИ</w:t>
      </w:r>
      <w:r>
        <w:rPr>
          <w:rFonts w:asciiTheme="minorHAnsi" w:hAnsiTheme="minorHAnsi"/>
          <w:b/>
          <w:lang w:val="sr-RS"/>
        </w:rPr>
        <w:t xml:space="preserve"> </w:t>
      </w:r>
    </w:p>
    <w:p>
      <w:pPr>
        <w:pStyle w:val="Normal"/>
        <w:widowControl w:val="false"/>
        <w:overflowPunct w:val="true"/>
        <w:spacing w:lineRule="auto" w:line="233" w:before="0" w:after="0"/>
        <w:jc w:val="center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</w:r>
    </w:p>
    <w:tbl>
      <w:tblPr>
        <w:tblStyle w:val="TableGrid"/>
        <w:tblW w:w="934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84"/>
        <w:gridCol w:w="4266"/>
        <w:gridCol w:w="707"/>
        <w:gridCol w:w="852"/>
        <w:gridCol w:w="1409"/>
        <w:gridCol w:w="1425"/>
      </w:tblGrid>
      <w:tr>
        <w:trPr/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Р.бр.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Опис п</w:t>
            </w: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озициј</w:t>
            </w: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е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Ј.м.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Количина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Јединична цена без ПДВ-а</w:t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Укупна вредност без ПДВ-а</w:t>
            </w:r>
          </w:p>
        </w:tc>
      </w:tr>
      <w:tr>
        <w:trPr/>
        <w:tc>
          <w:tcPr>
            <w:tcW w:w="6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1</w:t>
            </w:r>
          </w:p>
        </w:tc>
        <w:tc>
          <w:tcPr>
            <w:tcW w:w="4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2</w:t>
            </w:r>
          </w:p>
        </w:tc>
        <w:tc>
          <w:tcPr>
            <w:tcW w:w="70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3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4</w:t>
            </w:r>
          </w:p>
        </w:tc>
        <w:tc>
          <w:tcPr>
            <w:tcW w:w="14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5</w:t>
            </w:r>
          </w:p>
        </w:tc>
        <w:tc>
          <w:tcPr>
            <w:tcW w:w="14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6</w:t>
            </w:r>
          </w:p>
        </w:tc>
      </w:tr>
      <w:tr>
        <w:trPr>
          <w:trHeight w:val="328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1.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FC506 adresabilna protiv požarna centrala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36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  <w:t>2.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FC460 Adresabilni detektor požara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114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3.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Latn-RS" w:eastAsia="en-US" w:bidi="ar-SA"/>
              </w:rPr>
              <w:t>FC4B podnožije zadetektore požara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114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4.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FC420CP-I adresabilni ručni javljač požara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17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5.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FC420CPB kutija ručnogjavljača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17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6.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 xml:space="preserve">FCH201 </w:t>
            </w:r>
            <w:r>
              <w:rPr>
                <w:rFonts w:cs="Arial"/>
                <w:bCs/>
                <w:kern w:val="0"/>
                <w:sz w:val="18"/>
                <w:szCs w:val="18"/>
                <w:lang w:val="sr-Latn-RS" w:eastAsia="en-US" w:bidi="ar-SA"/>
              </w:rPr>
              <w:t>unutrašnja sirena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12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7.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PARADOX Komunikator VOX OUT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8.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BKPN Konvertor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9.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Akumulator 12V18/AH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2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10.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Latn-RS" w:eastAsia="en-US" w:bidi="ar-SA"/>
              </w:rPr>
              <w:t>FC410QIO ulazno izlazni modul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11.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Kućište za module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12.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Metalni ormar 550</w:t>
            </w:r>
            <w:r>
              <w:rPr>
                <w:kern w:val="0"/>
                <w:sz w:val="18"/>
                <w:szCs w:val="18"/>
                <w:lang w:val="en-US" w:eastAsia="en-US" w:bidi="ar-SA"/>
              </w:rPr>
              <w:t>x450x180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kern w:val="0"/>
                <w:sz w:val="18"/>
                <w:szCs w:val="18"/>
                <w:lang w:val="en-US" w:eastAsia="en-US" w:bidi="ar-SA"/>
              </w:rPr>
              <w:t>1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13.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kern w:val="0"/>
                <w:sz w:val="18"/>
                <w:szCs w:val="18"/>
                <w:lang w:val="en-US" w:eastAsia="en-US" w:bidi="ar-SA"/>
              </w:rPr>
              <w:t xml:space="preserve">FC4410 </w:t>
            </w:r>
            <w:r>
              <w:rPr>
                <w:kern w:val="0"/>
                <w:sz w:val="18"/>
                <w:szCs w:val="18"/>
                <w:lang w:val="sr-Latn-RS" w:eastAsia="en-US" w:bidi="ar-SA"/>
              </w:rPr>
              <w:t>Č</w:t>
            </w:r>
            <w:r>
              <w:rPr>
                <w:kern w:val="0"/>
                <w:sz w:val="18"/>
                <w:szCs w:val="18"/>
                <w:lang w:val="en-US" w:eastAsia="en-US" w:bidi="ar-SA"/>
              </w:rPr>
              <w:t>ETVOROSMERNI RELEJNI MODUL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3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14.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Glatkacev dimenzija F20/17,10mm nadzidno/vidno uključujući obujmice,sve vrste spojeva i razvodnuh kutija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m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100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15.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Kabl JH(ST)H 2X2X0.8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m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1750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16.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 xml:space="preserve">Kabl JH(ST)H 2X2X0.8 </w:t>
            </w:r>
            <w:r>
              <w:rPr>
                <w:kern w:val="0"/>
                <w:sz w:val="18"/>
                <w:szCs w:val="18"/>
                <w:lang w:val="sr-RS" w:eastAsia="en-US" w:bidi="ar-SA"/>
              </w:rPr>
              <w:t>FE(80)Е90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m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350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17.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Latn-RS" w:eastAsia="en-US" w:bidi="ar-SA"/>
              </w:rPr>
              <w:t>Obujmice F20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kom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200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18.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Glatka cev dimenzija F16/17,10mm nadzidni/vidno uključujući obujmice sve vrste spojeva i razvodnih kutija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1000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19.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Obujmice F16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kom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2000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20.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Automatski osigurač 15A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kom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21.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Prvo kontrolisanje instalacije i uređaja za automatsko otkrivanje i dojavu požara sa izdavanjem  isprave o prvoim kontrolisanju-obavlja pravno lice kojec poseduje važeće rešenje nadležnog organa izdatog prema pravilniku o posebnim uslovima koje moraju ispunjavati pravna lica  koja dobiju ovlašćenje za obavljanje poslova  kontrolisanja instalacije  uređaja za gašenje požara i instalacije posebnih sistema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1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22.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Izrada projekta  izvedenog stanja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23.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Sav nespecificirani montažni i potrošni materijal kao kablovi PVC vezice, nalepnice, tiple i šrafovi, dvostrano lepljiva traka i slično,a neophodan za postizanje pune funkcionalnosti i povezivanje izvršnih funkcija dojavnih centrala sa ostalim sistemima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ком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1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  <w:tr>
        <w:trPr>
          <w:trHeight w:val="344" w:hRule="atLeast"/>
        </w:trPr>
        <w:tc>
          <w:tcPr>
            <w:tcW w:w="6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val="sr-RS" w:eastAsia="en-US" w:bidi="ar-SA"/>
              </w:rPr>
              <w:t>24.</w:t>
            </w:r>
          </w:p>
        </w:tc>
        <w:tc>
          <w:tcPr>
            <w:tcW w:w="42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Montaža opreme i ispitivanje instalacije za detekciju požara sa izradom ispitnog protokola</w:t>
            </w:r>
          </w:p>
        </w:tc>
        <w:tc>
          <w:tcPr>
            <w:tcW w:w="15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18"/>
                <w:szCs w:val="18"/>
                <w:lang w:val="sr-Latn-RS" w:eastAsia="en-US" w:bidi="ar-SA"/>
              </w:rPr>
            </w:pPr>
            <w:r>
              <w:rPr>
                <w:kern w:val="0"/>
                <w:sz w:val="18"/>
                <w:szCs w:val="18"/>
                <w:lang w:val="sr-Latn-RS" w:eastAsia="en-US" w:bidi="ar-SA"/>
              </w:rPr>
              <w:t>Kom               1</w:t>
            </w:r>
          </w:p>
        </w:tc>
        <w:tc>
          <w:tcPr>
            <w:tcW w:w="1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cs="Arial" w:asciiTheme="minorHAnsi" w:hAnsiTheme="minorHAnsi"/>
                <w:bCs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cs="Arial"/>
                <w:bCs/>
                <w:kern w:val="0"/>
                <w:sz w:val="18"/>
                <w:szCs w:val="18"/>
                <w:lang w:eastAsia="en-US" w:bidi="ar-SA"/>
              </w:rPr>
            </w:r>
          </w:p>
        </w:tc>
      </w:tr>
    </w:tbl>
    <w:tbl>
      <w:tblPr>
        <w:tblW w:w="9371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955"/>
        <w:gridCol w:w="1415"/>
      </w:tblGrid>
      <w:tr>
        <w:trPr>
          <w:trHeight w:val="436" w:hRule="atLeast"/>
        </w:trPr>
        <w:tc>
          <w:tcPr>
            <w:tcW w:w="795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sz w:val="18"/>
                <w:szCs w:val="18"/>
              </w:rPr>
            </w:pPr>
            <w:r>
              <w:rPr>
                <w:rFonts w:cs="Calibri" w:cstheme="minorHAnsi"/>
                <w:b/>
                <w:bCs/>
                <w:color w:val="000000"/>
                <w:sz w:val="18"/>
                <w:szCs w:val="18"/>
                <w:lang w:val="sr-RS" w:eastAsia="sr-Latn-RS"/>
              </w:rPr>
              <w:t>УКУПНА ВРЕДНОСТ без ПДВ-а:</w:t>
            </w:r>
          </w:p>
        </w:tc>
        <w:tc>
          <w:tcPr>
            <w:tcW w:w="1415" w:type="dxa"/>
            <w:tcBorders>
              <w:top w:val="doub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Calibri" w:hAnsi="Calibri" w:cs="Calibri" w:asciiTheme="minorHAnsi" w:cstheme="minorHAnsi" w:hAnsiTheme="minorHAns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cs="Calibri" w:cstheme="minorHAnsi"/>
                <w:color w:val="000000"/>
                <w:sz w:val="18"/>
                <w:szCs w:val="18"/>
                <w:lang w:val="sr-Latn-RS" w:eastAsia="sr-Latn-RS"/>
              </w:rPr>
            </w:r>
          </w:p>
        </w:tc>
      </w:tr>
      <w:tr>
        <w:trPr>
          <w:trHeight w:val="410" w:hRule="atLeast"/>
        </w:trPr>
        <w:tc>
          <w:tcPr>
            <w:tcW w:w="7955" w:type="dxa"/>
            <w:tcBorders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sz w:val="18"/>
                <w:szCs w:val="18"/>
              </w:rPr>
            </w:pPr>
            <w:r>
              <w:rPr>
                <w:rFonts w:cs="Calibri" w:cstheme="minorHAnsi"/>
                <w:b/>
                <w:bCs/>
                <w:color w:val="000000"/>
                <w:sz w:val="18"/>
                <w:szCs w:val="18"/>
                <w:lang w:val="sr-RS" w:eastAsia="sr-Latn-RS"/>
              </w:rPr>
              <w:t>ПДВ</w:t>
            </w:r>
            <w:r>
              <w:rPr>
                <w:rFonts w:cs="Calibri" w:cstheme="minorHAnsi"/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20%</w:t>
            </w:r>
            <w:r>
              <w:rPr>
                <w:rFonts w:cs="Calibri" w:cstheme="minorHAnsi"/>
                <w:b/>
                <w:bCs/>
                <w:color w:val="000000"/>
                <w:sz w:val="18"/>
                <w:szCs w:val="18"/>
                <w:lang w:val="sr-RS" w:eastAsia="sr-Latn-RS"/>
              </w:rPr>
              <w:t>:</w:t>
            </w:r>
          </w:p>
        </w:tc>
        <w:tc>
          <w:tcPr>
            <w:tcW w:w="1415" w:type="dxa"/>
            <w:tcBorders>
              <w:bottom w:val="doub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Calibri" w:hAnsi="Calibri" w:cs="Calibri" w:asciiTheme="minorHAnsi" w:cstheme="minorHAnsi" w:hAnsiTheme="minorHAns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cs="Calibri" w:cstheme="minorHAnsi"/>
                <w:color w:val="000000"/>
                <w:sz w:val="18"/>
                <w:szCs w:val="18"/>
                <w:lang w:val="sr-Latn-RS" w:eastAsia="sr-Latn-RS"/>
              </w:rPr>
            </w:r>
          </w:p>
        </w:tc>
      </w:tr>
      <w:tr>
        <w:trPr>
          <w:trHeight w:val="392" w:hRule="atLeast"/>
        </w:trPr>
        <w:tc>
          <w:tcPr>
            <w:tcW w:w="7955" w:type="dxa"/>
            <w:tcBorders>
              <w:top w:val="double" w:sz="4" w:space="0" w:color="000000"/>
              <w:left w:val="double" w:sz="4" w:space="0" w:color="000000"/>
              <w:bottom w:val="thickThinSmallGap" w:sz="2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sz w:val="18"/>
                <w:szCs w:val="18"/>
              </w:rPr>
            </w:pPr>
            <w:r>
              <w:rPr>
                <w:rFonts w:cs="Calibri" w:cstheme="minorHAnsi"/>
                <w:b/>
                <w:bCs/>
                <w:color w:val="000000"/>
                <w:sz w:val="18"/>
                <w:szCs w:val="18"/>
                <w:lang w:val="sr-RS" w:eastAsia="sr-Latn-RS"/>
              </w:rPr>
              <w:t>УКПНО СА ПДВ-ом:</w:t>
            </w:r>
          </w:p>
        </w:tc>
        <w:tc>
          <w:tcPr>
            <w:tcW w:w="1415" w:type="dxa"/>
            <w:tcBorders>
              <w:top w:val="double" w:sz="4" w:space="0" w:color="000000"/>
              <w:left w:val="double" w:sz="4" w:space="0" w:color="000000"/>
              <w:bottom w:val="thickThinSmallGap" w:sz="2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Calibri" w:hAnsi="Calibri" w:cs="Calibri" w:asciiTheme="minorHAnsi" w:cstheme="minorHAnsi" w:hAnsiTheme="minorHAns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cs="Calibri" w:cstheme="minorHAnsi"/>
                <w:color w:val="000000"/>
                <w:sz w:val="18"/>
                <w:szCs w:val="18"/>
                <w:lang w:val="sr-Latn-RS" w:eastAsia="sr-Latn-RS"/>
              </w:rPr>
            </w:r>
          </w:p>
        </w:tc>
      </w:tr>
    </w:tbl>
    <w:p>
      <w:pPr>
        <w:pStyle w:val="ListParagraph"/>
        <w:tabs>
          <w:tab w:val="clear" w:pos="708"/>
          <w:tab w:val="left" w:pos="90" w:leader="none"/>
        </w:tabs>
        <w:ind w:left="0"/>
        <w:jc w:val="both"/>
        <w:rPr>
          <w:rFonts w:ascii="Calibri" w:hAnsi="Calibri" w:cs="Arial"/>
          <w:bCs/>
          <w:iCs/>
          <w:sz w:val="18"/>
          <w:szCs w:val="18"/>
          <w:lang w:val="sr-RS"/>
        </w:rPr>
      </w:pPr>
      <w:r>
        <w:rPr>
          <w:rFonts w:cs="Arial"/>
          <w:bCs/>
          <w:iCs/>
          <w:sz w:val="18"/>
          <w:szCs w:val="18"/>
          <w:lang w:val="sr-RS"/>
        </w:rPr>
      </w:r>
    </w:p>
    <w:p>
      <w:pPr>
        <w:pStyle w:val="ListParagraph"/>
        <w:tabs>
          <w:tab w:val="clear" w:pos="708"/>
          <w:tab w:val="left" w:pos="90" w:leader="none"/>
        </w:tabs>
        <w:ind w:left="0"/>
        <w:jc w:val="both"/>
        <w:rPr>
          <w:rFonts w:ascii="Calibri" w:hAnsi="Calibri" w:cs="Arial"/>
          <w:bCs/>
          <w:iCs/>
          <w:sz w:val="18"/>
          <w:szCs w:val="18"/>
          <w:lang w:val="sr-RS"/>
        </w:rPr>
      </w:pPr>
      <w:r>
        <w:rPr>
          <w:rFonts w:cs="Arial"/>
          <w:bCs/>
          <w:iCs/>
          <w:sz w:val="18"/>
          <w:szCs w:val="18"/>
          <w:lang w:val="sr-RS"/>
        </w:rPr>
      </w:r>
    </w:p>
    <w:p>
      <w:pPr>
        <w:pStyle w:val="ListParagraph"/>
        <w:tabs>
          <w:tab w:val="clear" w:pos="708"/>
          <w:tab w:val="left" w:pos="90" w:leader="none"/>
        </w:tabs>
        <w:ind w:left="0"/>
        <w:jc w:val="both"/>
        <w:rPr>
          <w:rFonts w:ascii="Calibri" w:hAnsi="Calibri" w:cs="Arial"/>
          <w:bCs/>
          <w:iCs/>
          <w:sz w:val="18"/>
          <w:szCs w:val="18"/>
          <w:lang w:val="sr-CS"/>
        </w:rPr>
      </w:pPr>
      <w:r>
        <w:rPr>
          <w:rFonts w:cs="Arial"/>
          <w:bCs/>
          <w:iCs/>
          <w:sz w:val="18"/>
          <w:szCs w:val="18"/>
        </w:rPr>
        <w:t>Понуђач треба да попун</w:t>
      </w:r>
      <w:r>
        <w:rPr>
          <w:rFonts w:cs="Arial"/>
          <w:bCs/>
          <w:iCs/>
          <w:sz w:val="18"/>
          <w:szCs w:val="18"/>
          <w:lang w:val="sr-CS"/>
        </w:rPr>
        <w:t>и</w:t>
      </w:r>
      <w:r>
        <w:rPr>
          <w:rFonts w:cs="Arial"/>
          <w:bCs/>
          <w:iCs/>
          <w:sz w:val="18"/>
          <w:szCs w:val="18"/>
        </w:rPr>
        <w:t xml:space="preserve"> образац структуре цене </w:t>
      </w:r>
      <w:r>
        <w:rPr>
          <w:rFonts w:cs="Arial"/>
          <w:bCs/>
          <w:iCs/>
          <w:sz w:val="18"/>
          <w:szCs w:val="18"/>
          <w:lang w:val="sr-CS"/>
        </w:rPr>
        <w:t>на следећи начин</w:t>
      </w:r>
      <w:r>
        <w:rPr>
          <w:rFonts w:cs="Arial"/>
          <w:bCs/>
          <w:iCs/>
          <w:sz w:val="18"/>
          <w:szCs w:val="18"/>
        </w:rPr>
        <w:t>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0" w:leader="none"/>
        </w:tabs>
        <w:suppressAutoHyphens w:val="true"/>
        <w:spacing w:lineRule="atLeast" w:line="100" w:before="0" w:after="0"/>
        <w:contextualSpacing w:val="false"/>
        <w:jc w:val="both"/>
        <w:rPr>
          <w:rFonts w:ascii="Calibri" w:hAnsi="Calibri" w:cs="Arial"/>
          <w:bCs/>
          <w:iCs/>
          <w:sz w:val="18"/>
          <w:szCs w:val="18"/>
          <w:lang w:val="sr-CS"/>
        </w:rPr>
      </w:pPr>
      <w:r>
        <w:rPr>
          <w:rFonts w:cs="Arial"/>
          <w:bCs/>
          <w:iCs/>
          <w:sz w:val="18"/>
          <w:szCs w:val="18"/>
          <w:lang w:val="sr-CS"/>
        </w:rPr>
        <w:t xml:space="preserve">у колони </w:t>
      </w:r>
      <w:r>
        <w:rPr>
          <w:rFonts w:cs="Arial"/>
          <w:bCs/>
          <w:iCs/>
          <w:sz w:val="18"/>
          <w:szCs w:val="18"/>
        </w:rPr>
        <w:t>5. уписати колико износи јединична цена без ПДВ-а, за сваки тражени предмет јавне набавке;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0" w:leader="none"/>
        </w:tabs>
        <w:suppressAutoHyphens w:val="true"/>
        <w:spacing w:lineRule="atLeast" w:line="100" w:before="0" w:after="0"/>
        <w:contextualSpacing w:val="false"/>
        <w:jc w:val="both"/>
        <w:rPr>
          <w:rFonts w:ascii="Calibri" w:hAnsi="Calibri" w:cs="Arial"/>
          <w:bCs/>
          <w:iCs/>
          <w:sz w:val="18"/>
          <w:szCs w:val="18"/>
          <w:lang w:val="sr-CS"/>
        </w:rPr>
      </w:pPr>
      <w:r>
        <w:rPr>
          <w:rFonts w:cs="Arial"/>
          <w:bCs/>
          <w:iCs/>
          <w:sz w:val="18"/>
          <w:szCs w:val="18"/>
        </w:rPr>
        <w:t xml:space="preserve">у колони 6. уписати укупну вредност без ПДВ-а за сваки тражени предмет јавне набавке и то тако што ће се помножити количина (наведену у колони 4.) са израженом јединичном ценом (наведеном у колони 5.); На крају уписати укупну вредност предмета набавке без ПДВ-а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0" w:leader="none"/>
        </w:tabs>
        <w:suppressAutoHyphens w:val="true"/>
        <w:spacing w:lineRule="atLeast" w:line="100" w:before="0" w:after="0"/>
        <w:contextualSpacing w:val="false"/>
        <w:jc w:val="both"/>
        <w:rPr>
          <w:rFonts w:ascii="Calibri" w:hAnsi="Calibri" w:cs="Arial"/>
          <w:sz w:val="18"/>
          <w:szCs w:val="18"/>
        </w:rPr>
      </w:pPr>
      <w:r>
        <w:rPr>
          <w:rFonts w:cs="Arial"/>
          <w:bCs/>
          <w:iCs/>
          <w:sz w:val="18"/>
          <w:szCs w:val="18"/>
          <w:lang w:val="sr-RS"/>
        </w:rPr>
        <w:t>н</w:t>
      </w:r>
      <w:r>
        <w:rPr>
          <w:rFonts w:cs="Arial"/>
          <w:bCs/>
          <w:iCs/>
          <w:sz w:val="18"/>
          <w:szCs w:val="18"/>
        </w:rPr>
        <w:t>а крају уписати укупну вредност предмета набавке са</w:t>
      </w:r>
      <w:r>
        <w:rPr>
          <w:rFonts w:cs="Arial"/>
          <w:bCs/>
          <w:iCs/>
          <w:sz w:val="18"/>
          <w:szCs w:val="18"/>
          <w:lang w:val="sr-RS"/>
        </w:rPr>
        <w:t xml:space="preserve"> посебно израженим ПДВ-ом и укупну вредност са</w:t>
      </w:r>
      <w:r>
        <w:rPr>
          <w:rFonts w:cs="Arial"/>
          <w:bCs/>
          <w:iCs/>
          <w:sz w:val="18"/>
          <w:szCs w:val="18"/>
        </w:rPr>
        <w:t xml:space="preserve"> ПДВ-ом.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0" w:leader="none"/>
        </w:tabs>
        <w:suppressAutoHyphens w:val="true"/>
        <w:spacing w:lineRule="atLeast" w:line="100" w:before="0" w:after="0"/>
        <w:contextualSpacing w:val="false"/>
        <w:jc w:val="both"/>
        <w:rPr>
          <w:rFonts w:ascii="Calibri" w:hAnsi="Calibri" w:cs="Arial"/>
          <w:bCs/>
          <w:iCs/>
          <w:sz w:val="18"/>
          <w:szCs w:val="18"/>
          <w:lang w:val="sr-CS"/>
        </w:rPr>
      </w:pPr>
      <w:r>
        <w:rPr>
          <w:rFonts w:cs="Arial"/>
          <w:bCs/>
          <w:iCs/>
          <w:sz w:val="18"/>
          <w:szCs w:val="18"/>
          <w:lang w:val="sr-RS"/>
        </w:rPr>
        <w:t>посебно попунити табелу рекапитулације.</w:t>
      </w:r>
    </w:p>
    <w:p>
      <w:pPr>
        <w:pStyle w:val="Default"/>
        <w:jc w:val="both"/>
        <w:rPr>
          <w:rFonts w:ascii="Calibri" w:hAnsi="Calibri" w:asciiTheme="minorHAnsi" w:hAnsiTheme="minorHAnsi"/>
          <w:sz w:val="8"/>
          <w:szCs w:val="8"/>
        </w:rPr>
      </w:pPr>
      <w:r>
        <w:rPr>
          <w:rFonts w:asciiTheme="minorHAnsi" w:hAnsiTheme="minorHAnsi" w:ascii="Calibri" w:hAnsi="Calibri"/>
          <w:sz w:val="8"/>
          <w:szCs w:val="8"/>
        </w:rPr>
      </w:r>
    </w:p>
    <w:p>
      <w:pPr>
        <w:pStyle w:val="Normal"/>
        <w:tabs>
          <w:tab w:val="clear" w:pos="708"/>
          <w:tab w:val="left" w:pos="460" w:leader="none"/>
        </w:tabs>
        <w:spacing w:lineRule="auto" w:line="240" w:before="0" w:after="0"/>
        <w:jc w:val="both"/>
        <w:rPr>
          <w:rFonts w:ascii="Calibri" w:hAnsi="Calibri" w:cs="Arial" w:asciiTheme="minorHAnsi" w:hAnsiTheme="minorHAnsi"/>
          <w:b/>
          <w:bCs/>
          <w:sz w:val="8"/>
          <w:szCs w:val="8"/>
          <w:lang w:val="sr-Latn-RS"/>
        </w:rPr>
      </w:pPr>
      <w:r>
        <w:rPr>
          <w:rFonts w:cs="Arial"/>
          <w:b/>
          <w:bCs/>
          <w:sz w:val="8"/>
          <w:szCs w:val="8"/>
          <w:lang w:val="sr-Latn-RS"/>
        </w:rPr>
      </w:r>
    </w:p>
    <w:p>
      <w:pPr>
        <w:pStyle w:val="Normal"/>
        <w:tabs>
          <w:tab w:val="clear" w:pos="708"/>
          <w:tab w:val="left" w:pos="460" w:leader="none"/>
        </w:tabs>
        <w:spacing w:lineRule="auto" w:line="240" w:before="0" w:after="0"/>
        <w:jc w:val="both"/>
        <w:rPr>
          <w:rFonts w:ascii="Calibri" w:hAnsi="Calibri" w:cs="Arial" w:asciiTheme="minorHAnsi" w:hAnsiTheme="minorHAnsi"/>
          <w:b/>
          <w:bCs/>
          <w:sz w:val="8"/>
          <w:szCs w:val="8"/>
          <w:lang w:val="sr-Latn-RS"/>
        </w:rPr>
      </w:pPr>
      <w:r>
        <w:rPr>
          <w:rFonts w:cs="Arial"/>
          <w:b/>
          <w:bCs/>
          <w:sz w:val="8"/>
          <w:szCs w:val="8"/>
          <w:lang w:val="sr-Latn-RS"/>
        </w:rPr>
      </w:r>
    </w:p>
    <w:p>
      <w:pPr>
        <w:pStyle w:val="Normal"/>
        <w:tabs>
          <w:tab w:val="clear" w:pos="708"/>
          <w:tab w:val="left" w:pos="460" w:leader="none"/>
        </w:tabs>
        <w:spacing w:lineRule="auto" w:line="240" w:before="0" w:after="0"/>
        <w:jc w:val="both"/>
        <w:rPr>
          <w:rFonts w:ascii="Calibri" w:hAnsi="Calibri" w:cs="Arial" w:asciiTheme="minorHAnsi" w:hAnsiTheme="minorHAnsi"/>
          <w:b/>
          <w:bCs/>
          <w:sz w:val="8"/>
          <w:szCs w:val="8"/>
          <w:lang w:val="sr-Latn-RS"/>
        </w:rPr>
      </w:pPr>
      <w:r>
        <w:rPr>
          <w:rFonts w:cs="Arial"/>
          <w:b/>
          <w:bCs/>
          <w:sz w:val="8"/>
          <w:szCs w:val="8"/>
          <w:lang w:val="sr-Latn-RS"/>
        </w:rPr>
      </w:r>
    </w:p>
    <w:p>
      <w:pPr>
        <w:pStyle w:val="Normal"/>
        <w:tabs>
          <w:tab w:val="clear" w:pos="708"/>
          <w:tab w:val="left" w:pos="460" w:leader="none"/>
        </w:tabs>
        <w:spacing w:lineRule="auto" w:line="240" w:before="0" w:after="0"/>
        <w:jc w:val="both"/>
        <w:rPr>
          <w:rFonts w:ascii="Calibri" w:hAnsi="Calibri" w:cs="Arial" w:asciiTheme="minorHAnsi" w:hAnsiTheme="minorHAnsi"/>
          <w:b/>
          <w:bCs/>
          <w:sz w:val="8"/>
          <w:szCs w:val="8"/>
          <w:lang w:val="sr-Latn-RS"/>
        </w:rPr>
      </w:pPr>
      <w:r>
        <w:rPr>
          <w:rFonts w:cs="Arial"/>
          <w:b/>
          <w:bCs/>
          <w:sz w:val="8"/>
          <w:szCs w:val="8"/>
          <w:lang w:val="sr-Latn-RS"/>
        </w:rPr>
      </w:r>
    </w:p>
    <w:p>
      <w:pPr>
        <w:pStyle w:val="Normal"/>
        <w:spacing w:lineRule="auto" w:line="240" w:before="0" w:after="0"/>
        <w:ind w:right="734"/>
        <w:jc w:val="both"/>
        <w:rPr>
          <w:rFonts w:ascii="Calibri" w:hAnsi="Calibri" w:asciiTheme="minorHAnsi" w:hAnsiTheme="minorHAnsi"/>
          <w:b/>
        </w:rPr>
      </w:pPr>
      <w:r>
        <w:rPr>
          <w:rFonts w:asciiTheme="minorHAnsi" w:hAnsiTheme="minorHAnsi"/>
          <w:b/>
        </w:rPr>
      </w:r>
    </w:p>
    <w:tbl>
      <w:tblPr>
        <w:tblW w:w="977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636"/>
        <w:gridCol w:w="1679"/>
        <w:gridCol w:w="4464"/>
      </w:tblGrid>
      <w:tr>
        <w:trPr/>
        <w:tc>
          <w:tcPr>
            <w:tcW w:w="3636" w:type="dxa"/>
            <w:tcBorders/>
          </w:tcPr>
          <w:p>
            <w:pPr>
              <w:pStyle w:val="Normal"/>
              <w:spacing w:before="0" w:after="200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/>
              </w:rPr>
              <w:t>Датум:____.____.20</w:t>
            </w:r>
            <w:r>
              <w:rPr>
                <w:rFonts w:asciiTheme="minorHAnsi" w:hAnsiTheme="minorHAnsi"/>
                <w:lang w:val="sr-Latn-RS"/>
              </w:rPr>
              <w:t>25</w:t>
            </w:r>
            <w:r>
              <w:rPr>
                <w:rFonts w:asciiTheme="minorHAnsi" w:hAnsiTheme="minorHAnsi"/>
              </w:rPr>
              <w:t>.год.</w:t>
            </w:r>
          </w:p>
        </w:tc>
        <w:tc>
          <w:tcPr>
            <w:tcW w:w="1679" w:type="dxa"/>
            <w:tcBorders/>
          </w:tcPr>
          <w:p>
            <w:pPr>
              <w:pStyle w:val="Normal"/>
              <w:spacing w:before="0" w:after="200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/>
                <w:lang w:val="sr-CS"/>
              </w:rPr>
            </w:r>
          </w:p>
        </w:tc>
        <w:tc>
          <w:tcPr>
            <w:tcW w:w="4464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/>
                <w:lang w:val="sr-CS"/>
              </w:rPr>
              <w:t>ПОТПИС  ОВЛАШЋЕНОГ ЛИЦА</w:t>
            </w:r>
          </w:p>
        </w:tc>
      </w:tr>
      <w:tr>
        <w:trPr/>
        <w:tc>
          <w:tcPr>
            <w:tcW w:w="3636" w:type="dxa"/>
            <w:tcBorders/>
          </w:tcPr>
          <w:p>
            <w:pPr>
              <w:pStyle w:val="Normal"/>
              <w:spacing w:before="0" w:after="200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/>
                <w:lang w:val="sr-CS"/>
              </w:rPr>
            </w:r>
          </w:p>
        </w:tc>
        <w:tc>
          <w:tcPr>
            <w:tcW w:w="1679" w:type="dxa"/>
            <w:tcBorders/>
            <w:vAlign w:val="center"/>
          </w:tcPr>
          <w:p>
            <w:pPr>
              <w:pStyle w:val="Normal"/>
              <w:spacing w:before="0" w:after="200"/>
              <w:jc w:val="right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/>
                <w:lang w:val="sr-CS"/>
              </w:rPr>
              <w:t>М. П</w:t>
            </w:r>
          </w:p>
        </w:tc>
        <w:tc>
          <w:tcPr>
            <w:tcW w:w="4464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/>
                <w:lang w:val="sr-CS"/>
              </w:rPr>
            </w:r>
          </w:p>
        </w:tc>
      </w:tr>
    </w:tbl>
    <w:p>
      <w:pPr>
        <w:pStyle w:val="Normal"/>
        <w:spacing w:before="0" w:after="200"/>
        <w:rPr>
          <w:lang w:val="sr-RS"/>
        </w:rPr>
      </w:pPr>
      <w:r>
        <w:rPr>
          <w:lang w:val="sr-RS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0" w:top="708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i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2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sr-Latn-R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sr-Latn-R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a276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da2768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da2768"/>
    <w:rPr/>
  </w:style>
  <w:style w:type="character" w:styleId="ListParagraphChar" w:customStyle="1">
    <w:name w:val="List Paragraph Char"/>
    <w:basedOn w:val="DefaultParagraphFont"/>
    <w:link w:val="ListParagraph"/>
    <w:uiPriority w:val="34"/>
    <w:qFormat/>
    <w:rsid w:val="00da2768"/>
    <w:rPr>
      <w:lang w:val="en-US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a276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da276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link w:val="ListParagraphChar"/>
    <w:uiPriority w:val="34"/>
    <w:qFormat/>
    <w:rsid w:val="00da2768"/>
    <w:pPr>
      <w:spacing w:before="0" w:after="200"/>
      <w:ind w:left="720"/>
      <w:contextualSpacing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Default" w:customStyle="1">
    <w:name w:val="Default"/>
    <w:qFormat/>
    <w:rsid w:val="00da276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a2768"/>
    <w:pPr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Application>LibreOffice/25.2.4.3$Windows_X86_64 LibreOffice_project/33e196637044ead23f5c3226cde09b47731f7e27</Application>
  <AppVersion>15.0000</AppVersion>
  <Pages>2</Pages>
  <Words>393</Words>
  <Characters>2167</Characters>
  <CharactersWithSpaces>2459</CharactersWithSpaces>
  <Paragraphs>119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2023-02-13T12:36:00Z</dcterms:created>
  <dc:creator>Gordana Blanusa</dc:creator>
  <dc:description/>
  <dc:language>sr-Latn-RS</dc:language>
  <cp:lastModifiedBy/>
  <cp:lastPrinted>2025-06-19T13:32:21Z</cp:lastPrinted>
  <dcterms:modified xsi:type="dcterms:W3CDTF">2025-06-23T12:13:57Z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